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10107"/>
      </w:tblGrid>
      <w:tr w:rsidR="00052B32" w:rsidRPr="00052B32" w:rsidTr="00052B32">
        <w:tc>
          <w:tcPr>
            <w:tcW w:w="3468" w:type="dxa"/>
          </w:tcPr>
          <w:p w:rsidR="00052B32" w:rsidRPr="00052B32" w:rsidRDefault="00052B32" w:rsidP="00052B32">
            <w:pPr>
              <w:spacing w:after="0" w:line="240" w:lineRule="auto"/>
              <w:jc w:val="center"/>
              <w:rPr>
                <w:rFonts w:eastAsia="Times New Roman" w:cs="Times New Roman"/>
                <w:b/>
                <w:sz w:val="26"/>
                <w:szCs w:val="26"/>
              </w:rPr>
            </w:pPr>
            <w:bookmarkStart w:id="0" w:name="_GoBack"/>
            <w:bookmarkEnd w:id="0"/>
            <w:r w:rsidRPr="00052B32">
              <w:rPr>
                <w:rFonts w:eastAsia="Times New Roman" w:cs="Times New Roman"/>
                <w:b/>
                <w:sz w:val="26"/>
                <w:szCs w:val="26"/>
              </w:rPr>
              <w:t>ỦY BAN NHÂN DÂN</w:t>
            </w:r>
          </w:p>
          <w:p w:rsidR="00052B32" w:rsidRPr="00052B32" w:rsidRDefault="00052B32" w:rsidP="00052B32">
            <w:pPr>
              <w:spacing w:after="0" w:line="240" w:lineRule="auto"/>
              <w:jc w:val="center"/>
              <w:rPr>
                <w:rFonts w:eastAsia="Times New Roman" w:cs="Times New Roman"/>
                <w:b/>
                <w:sz w:val="26"/>
                <w:szCs w:val="26"/>
              </w:rPr>
            </w:pPr>
            <w:r w:rsidRPr="00052B32">
              <w:rPr>
                <w:rFonts w:eastAsia="Times New Roman" w:cs="Times New Roman"/>
                <w:noProof/>
                <w:szCs w:val="28"/>
              </w:rPr>
              <mc:AlternateContent>
                <mc:Choice Requires="wps">
                  <w:drawing>
                    <wp:anchor distT="0" distB="0" distL="114300" distR="114300" simplePos="0" relativeHeight="251659264" behindDoc="0" locked="0" layoutInCell="1" allowOverlap="1" wp14:anchorId="5CF0E814" wp14:editId="21041E56">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052B32">
              <w:rPr>
                <w:rFonts w:eastAsia="Times New Roman" w:cs="Times New Roman"/>
                <w:b/>
                <w:sz w:val="26"/>
                <w:szCs w:val="26"/>
              </w:rPr>
              <w:t>XÃ LIÊN MINH</w:t>
            </w:r>
          </w:p>
        </w:tc>
        <w:tc>
          <w:tcPr>
            <w:tcW w:w="10107" w:type="dxa"/>
          </w:tcPr>
          <w:p w:rsidR="00052B32" w:rsidRPr="00052B32" w:rsidRDefault="00052B32" w:rsidP="00052B32">
            <w:pPr>
              <w:spacing w:after="0" w:line="240" w:lineRule="auto"/>
              <w:jc w:val="center"/>
              <w:rPr>
                <w:rFonts w:eastAsia="Times New Roman" w:cs="Times New Roman"/>
                <w:b/>
                <w:sz w:val="26"/>
                <w:szCs w:val="26"/>
              </w:rPr>
            </w:pPr>
            <w:r>
              <w:rPr>
                <w:rFonts w:eastAsia="Times New Roman" w:cs="Times New Roman"/>
                <w:b/>
                <w:sz w:val="26"/>
                <w:szCs w:val="26"/>
              </w:rPr>
              <w:t xml:space="preserve">                       </w:t>
            </w:r>
            <w:r w:rsidRPr="00052B32">
              <w:rPr>
                <w:rFonts w:eastAsia="Times New Roman" w:cs="Times New Roman"/>
                <w:b/>
                <w:sz w:val="26"/>
                <w:szCs w:val="26"/>
              </w:rPr>
              <w:t>CỘNG HÒA XÃ HỘI CHỦ NGHĨA VIỆT NAM</w:t>
            </w:r>
          </w:p>
          <w:p w:rsidR="00052B32" w:rsidRPr="00052B32" w:rsidRDefault="00052B32" w:rsidP="00052B32">
            <w:pPr>
              <w:spacing w:after="0" w:line="240" w:lineRule="auto"/>
              <w:jc w:val="center"/>
              <w:rPr>
                <w:rFonts w:eastAsia="Times New Roman" w:cs="Times New Roman"/>
                <w:b/>
                <w:szCs w:val="28"/>
              </w:rPr>
            </w:pPr>
            <w:r>
              <w:rPr>
                <w:rFonts w:eastAsia="Times New Roman" w:cs="Times New Roman"/>
                <w:b/>
                <w:szCs w:val="28"/>
              </w:rPr>
              <w:t xml:space="preserve">                        </w:t>
            </w:r>
            <w:r w:rsidRPr="00052B32">
              <w:rPr>
                <w:rFonts w:eastAsia="Times New Roman" w:cs="Times New Roman"/>
                <w:b/>
                <w:szCs w:val="28"/>
              </w:rPr>
              <w:t>Độc lập – Tự do – Hạnh phúc</w:t>
            </w:r>
          </w:p>
          <w:p w:rsidR="00052B32" w:rsidRPr="00052B32" w:rsidRDefault="00052B32" w:rsidP="00052B32">
            <w:pPr>
              <w:spacing w:after="0" w:line="240" w:lineRule="auto"/>
              <w:jc w:val="center"/>
              <w:rPr>
                <w:rFonts w:eastAsia="Times New Roman" w:cs="Times New Roman"/>
                <w:b/>
                <w:szCs w:val="28"/>
              </w:rPr>
            </w:pPr>
            <w:r w:rsidRPr="00052B32">
              <w:rPr>
                <w:rFonts w:eastAsia="Times New Roman" w:cs="Times New Roman"/>
                <w:noProof/>
                <w:szCs w:val="28"/>
              </w:rPr>
              <mc:AlternateContent>
                <mc:Choice Requires="wps">
                  <w:drawing>
                    <wp:anchor distT="0" distB="0" distL="114300" distR="114300" simplePos="0" relativeHeight="251660288" behindDoc="0" locked="0" layoutInCell="1" allowOverlap="1" wp14:anchorId="360C7F44" wp14:editId="187B2C1F">
                      <wp:simplePos x="0" y="0"/>
                      <wp:positionH relativeFrom="column">
                        <wp:posOffset>2630805</wp:posOffset>
                      </wp:positionH>
                      <wp:positionV relativeFrom="paragraph">
                        <wp:posOffset>23495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1.85pt" to="375.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"/>
                  </w:pict>
                </mc:Fallback>
              </mc:AlternateContent>
            </w:r>
          </w:p>
        </w:tc>
      </w:tr>
    </w:tbl>
    <w:p w:rsidR="00052B32" w:rsidRPr="00052B32" w:rsidRDefault="00052B32" w:rsidP="00052B32">
      <w:pPr>
        <w:spacing w:after="0" w:line="240" w:lineRule="auto"/>
        <w:jc w:val="center"/>
        <w:outlineLvl w:val="0"/>
        <w:rPr>
          <w:rFonts w:eastAsia="Times New Roman" w:cs="Times New Roman"/>
          <w:b/>
          <w:bCs/>
          <w:color w:val="000000"/>
          <w:kern w:val="36"/>
          <w:szCs w:val="28"/>
        </w:rPr>
      </w:pPr>
    </w:p>
    <w:p w:rsidR="00052B32" w:rsidRDefault="00052B32" w:rsidP="00052B32">
      <w:pPr>
        <w:spacing w:after="0" w:line="240" w:lineRule="auto"/>
        <w:jc w:val="center"/>
        <w:outlineLvl w:val="0"/>
        <w:rPr>
          <w:rFonts w:eastAsia="Times New Roman" w:cs="Times New Roman"/>
          <w:b/>
          <w:bCs/>
          <w:color w:val="000000"/>
          <w:kern w:val="36"/>
          <w:szCs w:val="28"/>
        </w:rPr>
      </w:pPr>
      <w:r>
        <w:rPr>
          <w:rFonts w:eastAsia="Times New Roman" w:cs="Times New Roman"/>
          <w:b/>
          <w:bCs/>
          <w:color w:val="000000"/>
          <w:kern w:val="36"/>
          <w:szCs w:val="28"/>
        </w:rPr>
        <w:t xml:space="preserve">BÀI TUYỂN TRUYỀN </w:t>
      </w:r>
    </w:p>
    <w:p w:rsidR="00052B32" w:rsidRPr="00052B32" w:rsidRDefault="00052B32" w:rsidP="00052B32">
      <w:pPr>
        <w:spacing w:after="0" w:line="240" w:lineRule="auto"/>
        <w:jc w:val="center"/>
        <w:outlineLvl w:val="0"/>
        <w:rPr>
          <w:rFonts w:eastAsia="Times New Roman" w:cs="Times New Roman"/>
          <w:b/>
          <w:bCs/>
          <w:color w:val="000000"/>
          <w:kern w:val="36"/>
          <w:sz w:val="16"/>
          <w:szCs w:val="28"/>
        </w:rPr>
      </w:pPr>
    </w:p>
    <w:p w:rsidR="009E0A98" w:rsidRPr="00052B32" w:rsidRDefault="00052B32" w:rsidP="00052B32">
      <w:pPr>
        <w:shd w:val="clear" w:color="auto" w:fill="FFFFFF"/>
        <w:spacing w:before="150" w:after="150" w:line="240" w:lineRule="auto"/>
        <w:jc w:val="center"/>
        <w:outlineLvl w:val="1"/>
        <w:rPr>
          <w:rFonts w:eastAsia="Times New Roman" w:cs="Times New Roman"/>
          <w:b/>
          <w:bCs/>
          <w:color w:val="5F5F5F"/>
          <w:sz w:val="26"/>
          <w:szCs w:val="26"/>
        </w:rPr>
      </w:pPr>
      <w:r>
        <w:rPr>
          <w:rFonts w:eastAsia="Times New Roman" w:cs="Times New Roman"/>
          <w:b/>
          <w:bCs/>
          <w:color w:val="5F5F5F"/>
          <w:sz w:val="26"/>
          <w:szCs w:val="26"/>
        </w:rPr>
        <w:t>T</w:t>
      </w:r>
      <w:r w:rsidR="009E0A98" w:rsidRPr="00052B32">
        <w:rPr>
          <w:rFonts w:eastAsia="Times New Roman" w:cs="Times New Roman"/>
          <w:b/>
          <w:bCs/>
          <w:color w:val="5F5F5F"/>
          <w:sz w:val="26"/>
          <w:szCs w:val="26"/>
        </w:rPr>
        <w:t>ổng hợp mức phạt tiền cũng như các hình thức phạt bổ sung năm 2022 đối với những lỗi vi phạm giao thông thường gặp theo </w:t>
      </w:r>
      <w:hyperlink r:id="rId6" w:tgtFrame="_blank" w:history="1">
        <w:r w:rsidR="009E0A98" w:rsidRPr="00052B32">
          <w:rPr>
            <w:rFonts w:eastAsia="Times New Roman" w:cs="Times New Roman"/>
            <w:b/>
            <w:bCs/>
            <w:color w:val="026896"/>
            <w:sz w:val="26"/>
            <w:szCs w:val="26"/>
          </w:rPr>
          <w:t>Nghị định 100/2019/NĐ-CP</w:t>
        </w:r>
      </w:hyperlink>
      <w:r w:rsidR="009E0A98" w:rsidRPr="00052B32">
        <w:rPr>
          <w:rFonts w:eastAsia="Times New Roman" w:cs="Times New Roman"/>
          <w:b/>
          <w:bCs/>
          <w:color w:val="5F5F5F"/>
          <w:sz w:val="26"/>
          <w:szCs w:val="26"/>
        </w:rPr>
        <w:t> và </w:t>
      </w:r>
      <w:hyperlink r:id="rId7" w:tgtFrame="_blank" w:history="1">
        <w:r w:rsidR="009E0A98" w:rsidRPr="00052B32">
          <w:rPr>
            <w:rFonts w:eastAsia="Times New Roman" w:cs="Times New Roman"/>
            <w:b/>
            <w:bCs/>
            <w:color w:val="026896"/>
            <w:sz w:val="26"/>
            <w:szCs w:val="26"/>
          </w:rPr>
          <w:t>Nghị định 123/2021/NĐ-CP</w:t>
        </w:r>
      </w:hyperlink>
      <w:r w:rsidR="009E0A98" w:rsidRPr="00052B32">
        <w:rPr>
          <w:rFonts w:eastAsia="Times New Roman" w:cs="Times New Roman"/>
          <w:b/>
          <w:bCs/>
          <w:color w:val="5F5F5F"/>
          <w:sz w:val="26"/>
          <w:szCs w:val="26"/>
        </w:rPr>
        <w:t> sau đây:</w:t>
      </w:r>
    </w:p>
    <w:p w:rsidR="009E0A98" w:rsidRPr="009E0A98" w:rsidRDefault="009E0A98" w:rsidP="00052B32">
      <w:pPr>
        <w:shd w:val="clear" w:color="auto" w:fill="FFFFFF"/>
        <w:spacing w:after="150" w:line="240" w:lineRule="auto"/>
        <w:jc w:val="both"/>
        <w:rPr>
          <w:rFonts w:ascii="Helvetica" w:eastAsia="Times New Roman" w:hAnsi="Helvetica" w:cs="Helvetica"/>
          <w:color w:val="333333"/>
          <w:sz w:val="21"/>
          <w:szCs w:val="21"/>
        </w:rPr>
      </w:pPr>
    </w:p>
    <w:tbl>
      <w:tblPr>
        <w:tblW w:w="13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2794"/>
        <w:gridCol w:w="3402"/>
        <w:gridCol w:w="3261"/>
        <w:gridCol w:w="3260"/>
      </w:tblGrid>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center"/>
              <w:rPr>
                <w:rFonts w:eastAsia="Times New Roman" w:cs="Times New Roman"/>
                <w:sz w:val="24"/>
                <w:szCs w:val="24"/>
              </w:rPr>
            </w:pPr>
            <w:r w:rsidRPr="009E0A98">
              <w:rPr>
                <w:rFonts w:eastAsia="Times New Roman" w:cs="Times New Roman"/>
                <w:b/>
                <w:bCs/>
                <w:sz w:val="24"/>
                <w:szCs w:val="24"/>
              </w:rPr>
              <w:t>STT</w:t>
            </w:r>
          </w:p>
        </w:tc>
        <w:tc>
          <w:tcPr>
            <w:tcW w:w="2794" w:type="dxa"/>
            <w:vMerge w:val="restart"/>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center"/>
              <w:rPr>
                <w:rFonts w:eastAsia="Times New Roman" w:cs="Times New Roman"/>
                <w:sz w:val="24"/>
                <w:szCs w:val="24"/>
              </w:rPr>
            </w:pPr>
            <w:r w:rsidRPr="009E0A98">
              <w:rPr>
                <w:rFonts w:eastAsia="Times New Roman" w:cs="Times New Roman"/>
                <w:b/>
                <w:bCs/>
                <w:sz w:val="24"/>
                <w:szCs w:val="24"/>
              </w:rPr>
              <w:t>Lỗi</w:t>
            </w:r>
          </w:p>
        </w:tc>
        <w:tc>
          <w:tcPr>
            <w:tcW w:w="6663" w:type="dxa"/>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center"/>
              <w:rPr>
                <w:rFonts w:eastAsia="Times New Roman" w:cs="Times New Roman"/>
                <w:sz w:val="24"/>
                <w:szCs w:val="24"/>
              </w:rPr>
            </w:pPr>
            <w:r w:rsidRPr="009E0A98">
              <w:rPr>
                <w:rFonts w:eastAsia="Times New Roman" w:cs="Times New Roman"/>
                <w:b/>
                <w:bCs/>
                <w:sz w:val="24"/>
                <w:szCs w:val="24"/>
              </w:rPr>
              <w:t>Mức phạt tiền</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center"/>
              <w:rPr>
                <w:rFonts w:eastAsia="Times New Roman" w:cs="Times New Roman"/>
                <w:sz w:val="24"/>
                <w:szCs w:val="24"/>
              </w:rPr>
            </w:pPr>
            <w:r w:rsidRPr="009E0A98">
              <w:rPr>
                <w:rFonts w:eastAsia="Times New Roman" w:cs="Times New Roman"/>
                <w:b/>
                <w:bCs/>
                <w:sz w:val="24"/>
                <w:szCs w:val="24"/>
              </w:rPr>
              <w:t>Hình phạt bổ sung</w:t>
            </w:r>
          </w:p>
          <w:p w:rsidR="009E0A98" w:rsidRPr="009E0A98" w:rsidRDefault="009E0A98" w:rsidP="00052B32">
            <w:pPr>
              <w:spacing w:after="150" w:line="240" w:lineRule="auto"/>
              <w:jc w:val="center"/>
              <w:rPr>
                <w:rFonts w:eastAsia="Times New Roman" w:cs="Times New Roman"/>
                <w:sz w:val="24"/>
                <w:szCs w:val="24"/>
              </w:rPr>
            </w:pPr>
            <w:r w:rsidRPr="009E0A98">
              <w:rPr>
                <w:rFonts w:eastAsia="Times New Roman" w:cs="Times New Roman"/>
                <w:b/>
                <w:bCs/>
                <w:sz w:val="24"/>
                <w:szCs w:val="24"/>
              </w:rPr>
              <w:t>(nếu có)</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b/>
                <w:bCs/>
                <w:sz w:val="24"/>
                <w:szCs w:val="24"/>
              </w:rPr>
              <w:t>Xe máy</w:t>
            </w:r>
          </w:p>
        </w:tc>
        <w:tc>
          <w:tcPr>
            <w:tcW w:w="3261"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b/>
                <w:bCs/>
                <w:sz w:val="24"/>
                <w:szCs w:val="24"/>
              </w:rPr>
              <w:t>Xe ô tô</w:t>
            </w: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r>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01</w:t>
            </w:r>
          </w:p>
        </w:tc>
        <w:tc>
          <w:tcPr>
            <w:tcW w:w="2794"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Chuyển làn không có tín hiệu báo trước (Không Xi nhan)</w:t>
            </w:r>
          </w:p>
        </w:tc>
        <w:tc>
          <w:tcPr>
            <w:tcW w:w="3402"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 đồng đến 200.000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i Khoản 1 Điều 6 </w:t>
            </w:r>
            <w:hyperlink r:id="rId8" w:tgtFrame="_blank" w:history="1">
              <w:r w:rsidRPr="009E0A98">
                <w:rPr>
                  <w:rFonts w:eastAsia="Times New Roman" w:cs="Times New Roman"/>
                  <w:color w:val="0000FF"/>
                  <w:sz w:val="24"/>
                  <w:szCs w:val="24"/>
                </w:rPr>
                <w:t>Nghị định 100</w:t>
              </w:r>
            </w:hyperlink>
            <w:r w:rsidRPr="009E0A98">
              <w:rPr>
                <w:rFonts w:eastAsia="Times New Roman" w:cs="Times New Roman"/>
                <w:sz w:val="24"/>
                <w:szCs w:val="24"/>
              </w:rPr>
              <w:t>)</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2 Điều 5 Nghị định 100)</w:t>
            </w:r>
          </w:p>
        </w:tc>
        <w:tc>
          <w:tcPr>
            <w:tcW w:w="3260"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Xe ô tô vi phạm: Tước quyền sử dụng Giấy phép lái xe từ 01 tháng đến 03 tháng nếu vi phạm trên cao tốc</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3.000.000 đồng đến 5.000.000 đồng nếu vi phạm trên đường cao tốc</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g Khoản 5 Điều 5 Nghị định 100)</w:t>
            </w: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02</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Chuyến hướng không có tín hiệu báo hướng rẽ</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3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3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03</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Điều khiển xe rẽ trái/phải tại nơi có biển báo hiệu có nội dung cấm rẽ trái/phải đối với loại phương tiện đang điều khiển</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3 Điều 6 Nghị định 100; Điểm a Khoản 4 Điều 2 </w:t>
            </w:r>
            <w:hyperlink r:id="rId9" w:tgtFrame="_blank" w:history="1">
              <w:r w:rsidRPr="009E0A98">
                <w:rPr>
                  <w:rFonts w:eastAsia="Times New Roman" w:cs="Times New Roman"/>
                  <w:color w:val="0000FF"/>
                  <w:sz w:val="24"/>
                  <w:szCs w:val="24"/>
                </w:rPr>
                <w:t>Nghị định 123/2021/NĐ-CP</w:t>
              </w:r>
            </w:hyperlink>
            <w:r w:rsidRPr="009E0A98">
              <w:rPr>
                <w:rFonts w:eastAsia="Times New Roman" w:cs="Times New Roman"/>
                <w:sz w:val="24"/>
                <w:szCs w:val="24"/>
              </w:rPr>
              <w:t>)</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ml:space="preserve">(Điểm k Khoản 3 Điều 5 Nghị định 100; Điểm a Khoản 3 Điều </w:t>
            </w:r>
            <w:r w:rsidRPr="009E0A98">
              <w:rPr>
                <w:rFonts w:eastAsia="Times New Roman" w:cs="Times New Roman"/>
                <w:sz w:val="24"/>
                <w:szCs w:val="24"/>
              </w:rPr>
              <w:lastRenderedPageBreak/>
              <w:t>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04</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Dùng tay sử dụng điện thoại di động khi đang điều khiển xe ô tô chạy trên đường</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2.000.000 đồng đến 3.000.000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4 Điều 5 Nghị định 100; Điểm d Khoản 34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Xe ô tô vi phạm: Tước quyền sử dụng Giấy phép lái xe từ 01 đến 03 tháng; từ 02 tháng đến 04 tháng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c Khoản 11 Điều 5 Nghị định 100)</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05</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Người đang điều khiển xe máy sử dụng điện thoại di động, thiết bị âm thanh (trừ thiết bị trợ thính)</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h Khoản 4 Điều 6 Nghị định 100, Điểm g Khoản 34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10 Điều 6 Nghị định 100)</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06</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Vượt đèn đỏ, đèn vàng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(Lưu ý: Đèn tín hiệu vàng nhấp nháy thì được đi nhưng phải giảm tốc độ)</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e, khoản 4, Điều 6 Nghị định 100; Điểm g Khoản 34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6.000.000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5 Điều 5 Nghị định 100; Điểm đ Khoản 34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10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01 tháng đến 03 tháng; từ 02 đến 04 tháng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c Khoản 11 Điều 5 Nghị định 100)</w:t>
            </w:r>
          </w:p>
        </w:tc>
      </w:tr>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07</w:t>
            </w:r>
          </w:p>
        </w:tc>
        <w:tc>
          <w:tcPr>
            <w:tcW w:w="2794"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 không đúng phần đường hoặc làn đường quy định (Đi sai làn)</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g Khoản 3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3.000.000 đồng đến 5.000.000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đ Khoản 5 Điều 5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5.000.000 đồng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7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10.000.000 đồng đến 12.000.000 đồng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7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10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02 tháng đến 04 tháng nếu gây tai nạn</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11 Điều 5 Nghị định 100)</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08</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 không đúng theo chỉ dẫn của vạch kẻ đường</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 đồng đến 200.000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1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 đồng đến 400.000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1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09</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2794"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Đi ngược chiều của đường một chiều, đi ngược chiều trên đường có biển “Cấm đi ngược chiều”</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1.000.000 đồng đến 2.000.000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(Khoản 5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3.000.000 đồng đến 5.000.000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5 Điều 5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10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11 Điều 5 Nghị định 100)</w:t>
            </w:r>
          </w:p>
        </w:tc>
      </w:tr>
      <w:tr w:rsidR="009E0A98" w:rsidRPr="009E0A98" w:rsidTr="00052B32">
        <w:trPr>
          <w:trHeight w:val="49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5.000.000 đồng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7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10.000.000 đồng đến 12.000.000 đồng nếu gây tai nạn giao thông.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7 Điều 5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10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16.000.000 đồng đến 18.000.000 đồng nếu đi ngược chiều trên đường cao tốc, lùi xe trên đường cao tốc</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8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Tước quyền sử dụng Giấy phép lái xe từ 05 tháng đến 07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đ Khoản 11 Điều 5 Nghị định 100)</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 vào đường có biển báo cấm phương tiện đang điều khiển</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i Khoản 3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2.000.000 đồng đến 3.000.000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4 Điều 5 Nghị định 100; Điểm d Khoản 34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10 Điều 6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ô tô vi phạm: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(Điểm b Khoản 11 Điều 5 Nghị định 100)</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11</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Điều khiển xe ô tô không có gương chiếu hậu</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 đồng đến 400.000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2 Điều 16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12</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Điều khiển xe máy không có gương chiếu hậu bên trái hoặc có nhưng không có tác dụng</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 đồng đến 200.000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1 Điều 17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13</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Không đội “mũ bảo hiểm cho người đi mô tô, xe máy” hoặc đội “mũ bảo hiểm cho người đi mô tô, xe máy” không cài quai đúng quy cách</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14</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Chở người ngồi trên xe không đội “mũ bảo hiểm cho người đi mô tô, xe máy” hoặc đội “mũ bảo hiểm cho người đi mô tô, xe máy” không cài quai đúng quy cách</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15</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Không có  giấy phép lái xe</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(Với người đã đủ tuổi được điều khiển phương tiện)</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1.000.000 đồng đến 2.000.000 đồng đối với người điều khiển xe mô tô hai bánh có dung tích xi lanh dưới 175 cm3</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(Khoản 11 Điều 2 Nghị định 123/2021/NĐ-CP)</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ml:space="preserve">4.000.000 đồng đến 5.000.000 đồng đối với người điều khiển xe </w:t>
            </w:r>
            <w:r w:rsidRPr="009E0A98">
              <w:rPr>
                <w:rFonts w:eastAsia="Times New Roman" w:cs="Times New Roman"/>
                <w:sz w:val="24"/>
                <w:szCs w:val="24"/>
              </w:rPr>
              <w:lastRenderedPageBreak/>
              <w:t>mô tô hai bánh có dung tích xi lanh từ 175 cm3 trở lên</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(Khoản 11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10.000.000 đồng đến 12.000.000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(Khoản 11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16</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Điều khiển xe không có Giấy đăng ký xe</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2 Điều 17; Điểm m Khoản 34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2.000.000 đồng đến 3.000.000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(Khoản 9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17</w:t>
            </w:r>
          </w:p>
        </w:tc>
        <w:tc>
          <w:tcPr>
            <w:tcW w:w="2794"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Không có hoặc không mang theo Giấy chứng nhận bảo hiểm trách nhiệm dân sự của chủ xe cơ giới còn hiệu lực</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 đồng đến 200.000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2 Điều 21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 đồng đến 600.000 đồng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4 Điều 21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18</w:t>
            </w:r>
          </w:p>
        </w:tc>
        <w:tc>
          <w:tcPr>
            <w:tcW w:w="2794"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Có nồng độ cồn trong máu hoặc hơi thở khi điều khiển xe</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2.000.000 đồng đến 3.000.000 đồng nếu trong máu hoặc hơi thở có nồng độ cồn nhưng chưa vượt quá 50 miligam/100 mililít máu hoặc chưa vượt quá 0,25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6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6.000.000 đồng đến 8.000.000 đồng nếu trong máu hoặc hơi thở có nồng độ cồn nhưng chưa vượt quá 50 miligam/100 mililít máu hoặc chưa vượt quá 0,25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6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Tước quyền sử dụng Giấy phép lái xe từ 10 tháng đến 12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đ khoản 10 Điều 6; Điểm e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5.000.000 đồng nếu có nồng độ cồn vượt quá 50 miligam đến 80 miligam/100 mililít máu hoặc vượt quá 0,25 miligam đến 0,4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7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16.000.000 đồng đến 18.000.000 đồng nếu có nồng độ cồn vượt quá 50 miligam đến 80 miligam/100 mililít máu hoặc vượt quá 0,25 miligam đến 0,4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8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Tước quyền sử dụng Giấy phép lái xe từ 16 tháng đến 18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e Khoản 10 Điều 5; Điểm g Khoản 11 Điều 5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ml:space="preserve">6.000.000 đồng đến 8.000.000 đồng nếu có nồng độ cồn vượt quá </w:t>
            </w:r>
            <w:r w:rsidRPr="009E0A98">
              <w:rPr>
                <w:rFonts w:eastAsia="Times New Roman" w:cs="Times New Roman"/>
                <w:sz w:val="24"/>
                <w:szCs w:val="24"/>
              </w:rPr>
              <w:lastRenderedPageBreak/>
              <w:t>80 miligam/100 mililít máu hoặc vượt quá 0,4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e Khoản 8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 xml:space="preserve">30.000.000 đồng đến 40.000.000 đồng nếu có nồng độ cồn vượt </w:t>
            </w:r>
            <w:r w:rsidRPr="009E0A98">
              <w:rPr>
                <w:rFonts w:eastAsia="Times New Roman" w:cs="Times New Roman"/>
                <w:sz w:val="24"/>
                <w:szCs w:val="24"/>
              </w:rPr>
              <w:lastRenderedPageBreak/>
              <w:t>quá 80 miligam/100 mililít máu hoặc vượt quá 0,4 miligam/1 lít khí thở.</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(Điển a Khoản 10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 xml:space="preserve">Tước quyền sử dụng Giấy phép </w:t>
            </w:r>
            <w:r w:rsidRPr="009E0A98">
              <w:rPr>
                <w:rFonts w:eastAsia="Times New Roman" w:cs="Times New Roman"/>
                <w:sz w:val="24"/>
                <w:szCs w:val="24"/>
              </w:rPr>
              <w:lastRenderedPageBreak/>
              <w:t>lái xe từ 22 tháng đến 24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g Khoản 10 Điều 5; Điểm h Khoản 11 Điều 5 Nghị định 100)</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616"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lastRenderedPageBreak/>
              <w:t>19</w:t>
            </w:r>
          </w:p>
        </w:tc>
        <w:tc>
          <w:tcPr>
            <w:tcW w:w="2794" w:type="dxa"/>
            <w:vMerge w:val="restart"/>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Điều khiển xe chạy quá tốc độ</w:t>
            </w: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Không bị phạt nếu chạy quá tốc độ cho phép dưới 05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2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Không bị phạt nếu chạy quá tốc độ cho phép dưới 05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3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300.000 đồng đến 400.000 đồng nếu chạy quá tốc độ quy định từ 05 km/h đến dưới 10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2 Điều 6 Nghị định 100; Điểm k Khoản 34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 nếu chạy quá tốc độ quy định từ 05 km/h đến dưới 10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3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800.000 đồng đến 1.000.000 đồng nếu chạy quá tốc độ quy định từ 10 km/h đến 20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4 Điều 6 Nghị định 100; Điểm g Khoản 34 Điều 2 Nghị định 123/2021/NĐ-CP)</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6.000.000 đồng nếu chạy quá tốc độ quy định từ 10 km/h đến 20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i Khoản 5 Điều 5 Nghị định 100; Điểm đ Khoản 34 Điều 2 Nghị định 123/2021/NĐ-CP)</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Tước quyền sử dụng Giấy phép lái xe từ 01 tháng đến 03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b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4.000.000 đồng đến 5.000.000 đồng nếu chạy quá tốc độ quy định trên 20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7 Điều 6 Nghị định 100)</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6.000.000 đồng đến 8.000.000 đồng nếu chạy quá tốc độ quy định trên 20 km/h đến 35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a Khoản 6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Xe máy vi phạm: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10 Điều 6)</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xml:space="preserve">- Xe ô tô vi phạm: Tước quyền sử dụng Giấy phép lái xe từ 02 </w:t>
            </w:r>
            <w:r w:rsidRPr="009E0A98">
              <w:rPr>
                <w:rFonts w:eastAsia="Times New Roman" w:cs="Times New Roman"/>
                <w:sz w:val="24"/>
                <w:szCs w:val="24"/>
              </w:rPr>
              <w:lastRenderedPageBreak/>
              <w:t>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11 Điều 5 Nghị định 100)</w:t>
            </w:r>
          </w:p>
        </w:tc>
      </w:tr>
      <w:tr w:rsidR="009E0A98" w:rsidRPr="009E0A98" w:rsidTr="00052B32">
        <w:tc>
          <w:tcPr>
            <w:tcW w:w="0" w:type="auto"/>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2794" w:type="dxa"/>
            <w:vMerge/>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0" w:line="240" w:lineRule="auto"/>
              <w:jc w:val="both"/>
              <w:rPr>
                <w:rFonts w:eastAsia="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w:t>
            </w:r>
          </w:p>
        </w:tc>
        <w:tc>
          <w:tcPr>
            <w:tcW w:w="3261"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10.000.000 đồng đến 12.000.000 đồng nếu chạy quá tốc độ quy định trên 35 km/h.</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7 Điều 5 Nghị định 100)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 Tước quyền sử dụng Giấy phép lái xe từ 02 tháng đến 04 tháng</w:t>
            </w:r>
          </w:p>
          <w:p w:rsidR="009E0A98" w:rsidRPr="009E0A98" w:rsidRDefault="009E0A98" w:rsidP="00052B32">
            <w:pPr>
              <w:spacing w:after="150" w:line="240" w:lineRule="auto"/>
              <w:jc w:val="both"/>
              <w:rPr>
                <w:rFonts w:eastAsia="Times New Roman" w:cs="Times New Roman"/>
                <w:sz w:val="24"/>
                <w:szCs w:val="24"/>
              </w:rPr>
            </w:pPr>
            <w:r w:rsidRPr="009E0A98">
              <w:rPr>
                <w:rFonts w:eastAsia="Times New Roman" w:cs="Times New Roman"/>
                <w:sz w:val="24"/>
                <w:szCs w:val="24"/>
              </w:rPr>
              <w:t>(Điểm c Khoản 11 Điều 5 Nghị định 100)</w:t>
            </w:r>
          </w:p>
        </w:tc>
      </w:tr>
    </w:tbl>
    <w:p w:rsidR="00BE2B22" w:rsidRDefault="00BE2B22" w:rsidP="00052B32">
      <w:pPr>
        <w:shd w:val="clear" w:color="auto" w:fill="FFFFFF"/>
        <w:spacing w:after="150" w:line="240" w:lineRule="auto"/>
        <w:jc w:val="both"/>
      </w:pPr>
    </w:p>
    <w:sectPr w:rsidR="00BE2B22" w:rsidSect="00052B32">
      <w:pgSz w:w="15840" w:h="12240" w:orient="landscape"/>
      <w:pgMar w:top="993" w:right="70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06CC1"/>
    <w:multiLevelType w:val="multilevel"/>
    <w:tmpl w:val="0F6612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98"/>
    <w:rsid w:val="00052B32"/>
    <w:rsid w:val="00321FD7"/>
    <w:rsid w:val="007B4916"/>
    <w:rsid w:val="009E0A98"/>
    <w:rsid w:val="00B30D2F"/>
    <w:rsid w:val="00BE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428241">
      <w:bodyDiv w:val="1"/>
      <w:marLeft w:val="0"/>
      <w:marRight w:val="0"/>
      <w:marTop w:val="0"/>
      <w:marBottom w:val="0"/>
      <w:divBdr>
        <w:top w:val="none" w:sz="0" w:space="0" w:color="auto"/>
        <w:left w:val="none" w:sz="0" w:space="0" w:color="auto"/>
        <w:bottom w:val="none" w:sz="0" w:space="0" w:color="auto"/>
        <w:right w:val="none" w:sz="0" w:space="0" w:color="auto"/>
      </w:divBdr>
      <w:divsChild>
        <w:div w:id="270431550">
          <w:marLeft w:val="0"/>
          <w:marRight w:val="0"/>
          <w:marTop w:val="0"/>
          <w:marBottom w:val="0"/>
          <w:divBdr>
            <w:top w:val="none" w:sz="0" w:space="0" w:color="auto"/>
            <w:left w:val="none" w:sz="0" w:space="0" w:color="auto"/>
            <w:bottom w:val="none" w:sz="0" w:space="0" w:color="auto"/>
            <w:right w:val="none" w:sz="0" w:space="0" w:color="auto"/>
          </w:divBdr>
          <w:divsChild>
            <w:div w:id="1411461584">
              <w:marLeft w:val="0"/>
              <w:marRight w:val="0"/>
              <w:marTop w:val="0"/>
              <w:marBottom w:val="0"/>
              <w:divBdr>
                <w:top w:val="none" w:sz="0" w:space="0" w:color="auto"/>
                <w:left w:val="none" w:sz="0" w:space="0" w:color="auto"/>
                <w:bottom w:val="none" w:sz="0" w:space="0" w:color="auto"/>
                <w:right w:val="none" w:sz="0" w:space="0" w:color="auto"/>
              </w:divBdr>
            </w:div>
          </w:divsChild>
        </w:div>
        <w:div w:id="1928540226">
          <w:marLeft w:val="0"/>
          <w:marRight w:val="0"/>
          <w:marTop w:val="0"/>
          <w:marBottom w:val="0"/>
          <w:divBdr>
            <w:top w:val="none" w:sz="0" w:space="0" w:color="auto"/>
            <w:left w:val="none" w:sz="0" w:space="0" w:color="auto"/>
            <w:bottom w:val="none" w:sz="0" w:space="0" w:color="auto"/>
            <w:right w:val="none" w:sz="0" w:space="0" w:color="auto"/>
          </w:divBdr>
          <w:divsChild>
            <w:div w:id="21332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00-2019-ND-CP-xu-phat-vi-pham-hanh-chinh-linh-vuc-giao-thong-duong-bo-va-duong-sat-426369.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Vi-pham-hanh-chinh/Nghi-dinh-123-2021-ND-CP-sua-doi-Nghi-dinh-xu-phat-vi-pham-hanh-chinh-linh-vuc-hang-hai-477975.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i-pham-hanh-chinh/Nghi-dinh-100-2019-ND-CP-xu-phat-vi-pham-hanh-chinh-linh-vuc-giao-thong-duong-bo-va-duong-sat-426369.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Vi-pham-hanh-chinh/Nghi-dinh-123-2021-ND-CP-sua-doi-Nghi-dinh-xu-phat-vi-pham-hanh-chinh-linh-vuc-hang-hai-47797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31EAF-97CB-4972-9470-0EAD472890BC}"/>
</file>

<file path=customXml/itemProps2.xml><?xml version="1.0" encoding="utf-8"?>
<ds:datastoreItem xmlns:ds="http://schemas.openxmlformats.org/officeDocument/2006/customXml" ds:itemID="{F004B340-04F8-4686-BE2D-EAE579113325}"/>
</file>

<file path=customXml/itemProps3.xml><?xml version="1.0" encoding="utf-8"?>
<ds:datastoreItem xmlns:ds="http://schemas.openxmlformats.org/officeDocument/2006/customXml" ds:itemID="{848AEE94-7649-4215-8E43-EC9690F6501E}"/>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 Hoang Duong</dc:creator>
  <cp:lastModifiedBy>MT Hoang Duong</cp:lastModifiedBy>
  <cp:revision>2</cp:revision>
  <cp:lastPrinted>2022-10-09T03:21:00Z</cp:lastPrinted>
  <dcterms:created xsi:type="dcterms:W3CDTF">2022-11-06T01:20:00Z</dcterms:created>
  <dcterms:modified xsi:type="dcterms:W3CDTF">2022-11-06T01:20:00Z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61600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